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ASCA's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professionals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advocating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Barbara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Truluck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Barbara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Palmer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Kennesaw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Georgia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suburban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905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Congratulations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Barbara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 Truluck: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demographics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 Truluck: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Palmer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Northern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suburbs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Atlanta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Kennesaw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Georgia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Kennesaw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900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demographics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%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%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%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Hispanic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%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%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economically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disadvantaged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financial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%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multicultural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belonging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adjustments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Palmer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Iowa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80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percentile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 Truluck: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advocated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Hispanic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%.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barrier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deserves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shifted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love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intertwined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curiosity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 Truluck: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overwhelming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80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percentile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Iowa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advocated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indicator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eighth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 Truluck: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Barbara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sponsors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principals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collaborate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celebrate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studentsuccessagency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utilize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mobilize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strengthening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'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Barbara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%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 Truluck: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concentrate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elementary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Palmer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avoidance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valuable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instruction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negatively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tremendous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originally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relaxation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cycle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cycle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cycle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Palmer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fortunate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yoga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relaxing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classrooms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waterfall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YouTube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inventory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assessment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visualization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 Truluck: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lifestyle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hydrated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buster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yoga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relaxing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demonstrate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then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empathy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laughed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invaluable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priceless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90%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decreased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80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%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82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%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 Truluck: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because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absentee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tremendous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Palmer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 Truluck: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?"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and then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504s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anxiety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emphasizing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entwining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empathy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illustrates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 Truluck: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Like I said,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Georgia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Awesome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 Truluck: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 Truluck: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bedtime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When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bedside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bedtime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sponsors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celebrate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launched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21st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scholarships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Barbara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Barbara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 Truluck: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Wednesday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traumatic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shifting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discipline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referrals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inspired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 Truluck: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eighth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discipline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referrals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discipline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referrals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suspension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suspension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valuable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instruction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disengage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OSS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committee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Kennesaw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Accelerating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Coalition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coalition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surrounding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village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champion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administration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champion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restorative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their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obstacles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integrity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PTSA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snacks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snacks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snacks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do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Kennesaw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principal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he's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dresser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 Truluck: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%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discipline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referrals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%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administration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mainstays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snacks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love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fantastic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 Truluck: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skeptical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administration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administration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TLC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football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Truluck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football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administration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tremendous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Shifting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 Truluck: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Florida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kingdom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Cinderella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 Truluck: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about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character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performer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entertainment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I went to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I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entertainment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It's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costumes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 Truluck: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scenes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costumes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 Truluck: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Cinderella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auditioned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character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mannerisms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Cinderella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character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 Truluck: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Georgia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pursue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Palmer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demonstration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instruction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banners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it's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female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financial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NCAA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recruitment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volleyball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recruited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Georgia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eighth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NCAA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credits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inspire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barriers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champion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advocate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cheerleader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pursue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motivates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 Truluck: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motivates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volleyball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volleyball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husband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motivates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valuable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Barbara Truluck: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 Walsh: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Barbara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Counselor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counselor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platforms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Counselor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tweets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Barbara_final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Jan 28,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yAIbFXgYLjhAjlnPDXDbfklE7v3Hm_Pg9sXGou8VZcK822U980svTPZfoHZMAY0MEvdKtQ6w98vUgWlJYjw3VQJX5LM&amp;loadFrom=DocumentHeaderDeepLin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